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A6" w:rsidRDefault="009B4788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именуемое в дальнейшем Организатор, в лице заместителя директора по выставочной деятельности Агафоновой Виктории Николаевны, действующ</w:t>
      </w:r>
      <w:r w:rsidR="00A76E62">
        <w:rPr>
          <w:rFonts w:ascii="Times New Roman" w:hAnsi="Times New Roman" w:cs="Times New Roman"/>
          <w:lang w:val="ru-RU"/>
        </w:rPr>
        <w:t>ей на основании Доверенности №</w:t>
      </w:r>
      <w:r w:rsidR="005D3BAB">
        <w:rPr>
          <w:rFonts w:ascii="Times New Roman" w:hAnsi="Times New Roman" w:cs="Times New Roman"/>
          <w:lang w:val="ru-RU"/>
        </w:rPr>
        <w:t xml:space="preserve"> </w:t>
      </w:r>
      <w:r w:rsidR="00A76E62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 xml:space="preserve"> от 0</w:t>
      </w:r>
      <w:r w:rsidR="00A76E62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.0</w:t>
      </w:r>
      <w:r w:rsidR="00A76E62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>.202</w:t>
      </w:r>
      <w:r w:rsidR="00A76E62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г., с одной стороны, и ______________________________, именуемое в дальнейшем Экспонент, в лице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>
        <w:rPr>
          <w:rFonts w:ascii="Times New Roman" w:hAnsi="Times New Roman" w:cs="Times New Roman"/>
          <w:lang w:val="ru-RU"/>
        </w:rPr>
        <w:t xml:space="preserve">, действующего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Экспонент обязуется принять участие и своевременно произвести оплату по Договору, а Организатор – организовать участие Экспонента в 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II международной выставке индустрии безопасности «НАЦИОНАЛЬНАЯ БЕЗОПАСНОСТЬ. БЕЛАРУСЬ-2026» (далее – Выставка).</w:t>
      </w:r>
    </w:p>
    <w:p w:rsidR="00324CA6" w:rsidRDefault="009B4788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Время проведения выставки: монтаж выставки: 12-15.06.2026г. с 9.00 до 20.00; ввоз экспонатов: 16.06.2026г. с 9.00 до 20.00; работа выставки: 17 - 18.06.2026г. с 10.00 до 18.00, 19.06.2026г. с 10.00 до 16.00; демонтаж: 19.06.2026г. с 16.00 до 22.00.</w:t>
      </w:r>
    </w:p>
    <w:p w:rsidR="00324CA6" w:rsidRDefault="009B4788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Место проведения выставки: Минский международный выставочный центр, ул. П.</w:t>
      </w:r>
      <w:r w:rsidR="005D3BAB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eastAsia="en-US"/>
        </w:rPr>
        <w:t>Медёлки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24, </w:t>
      </w:r>
      <w:proofErr w:type="spellStart"/>
      <w:r>
        <w:rPr>
          <w:rFonts w:eastAsiaTheme="minorHAnsi"/>
          <w:sz w:val="22"/>
          <w:szCs w:val="22"/>
          <w:lang w:eastAsia="en-US"/>
        </w:rPr>
        <w:t>г.Минск</w:t>
      </w:r>
      <w:proofErr w:type="spellEnd"/>
      <w:r>
        <w:rPr>
          <w:rFonts w:eastAsiaTheme="minorHAnsi"/>
          <w:sz w:val="22"/>
          <w:szCs w:val="22"/>
          <w:lang w:eastAsia="en-US"/>
        </w:rPr>
        <w:t>, Республика Беларусь.</w:t>
      </w:r>
    </w:p>
    <w:p w:rsidR="00324CA6" w:rsidRDefault="009B4788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tooltip="mailto:budexpo@belexpo.by" w:history="1">
        <w:r>
          <w:rPr>
            <w:rStyle w:val="af4"/>
            <w:sz w:val="22"/>
            <w:szCs w:val="22"/>
            <w:lang w:val="en-US"/>
          </w:rPr>
          <w:t>nbb</w:t>
        </w:r>
        <w:r>
          <w:rPr>
            <w:rStyle w:val="af4"/>
            <w:sz w:val="22"/>
            <w:szCs w:val="22"/>
          </w:rPr>
          <w:t>@belexpo.by</w:t>
        </w:r>
      </w:hyperlink>
      <w:r>
        <w:rPr>
          <w:sz w:val="22"/>
          <w:szCs w:val="22"/>
        </w:rPr>
        <w:t xml:space="preserve">, и Счетом, являющимся неотъемлемой частью Договора. </w:t>
      </w:r>
    </w:p>
    <w:p w:rsidR="00324CA6" w:rsidRDefault="009B4788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«НАЦИОНАЛЬНАЯ БЕЗОПАСНОСТЬ. БЕЛАРУСЬ - 2026» (далее – Руководство)</w:t>
      </w:r>
      <w:r>
        <w:rPr>
          <w:rFonts w:ascii="Times New Roman" w:hAnsi="Times New Roman" w:cs="Times New Roman"/>
          <w:lang w:val="ru-RU"/>
        </w:rPr>
        <w:t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Выставки</w:t>
      </w:r>
      <w:r w:rsidR="00A838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A838B2">
        <w:rPr>
          <w:rFonts w:ascii="Times New Roman" w:hAnsi="Times New Roman" w:cs="Times New Roman"/>
        </w:rPr>
        <w:t>nbbexpo</w:t>
      </w:r>
      <w:proofErr w:type="spellEnd"/>
      <w:r w:rsidR="00A838B2" w:rsidRPr="00A838B2">
        <w:rPr>
          <w:rFonts w:ascii="Times New Roman" w:hAnsi="Times New Roman" w:cs="Times New Roman"/>
          <w:lang w:val="ru-RU"/>
        </w:rPr>
        <w:t>.</w:t>
      </w:r>
      <w:r w:rsidR="00A838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.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Счетом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Нерезиденты Республики Беларусь осуществляют оплату в российских рублях по курсу белорусского рубля к российскому рублю, установленному Национальным Банком Республики Беларусь на день оплаты (http://www.nbrb.by). 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:rsidR="005D3BAB" w:rsidRDefault="005D3BAB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Валюта договора – белорусский рубль.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имеет право в случае неполучения платежа в соответствии с п.2.2.</w:t>
      </w:r>
      <w:r w:rsidR="00A838B2" w:rsidRPr="00A838B2">
        <w:rPr>
          <w:rFonts w:ascii="Times New Roman" w:hAnsi="Times New Roman" w:cs="Times New Roman"/>
          <w:lang w:val="ru-RU"/>
        </w:rPr>
        <w:t xml:space="preserve"> </w:t>
      </w:r>
      <w:r w:rsidR="00A838B2">
        <w:rPr>
          <w:rFonts w:ascii="Times New Roman" w:hAnsi="Times New Roman" w:cs="Times New Roman"/>
          <w:lang w:val="ru-RU"/>
        </w:rPr>
        <w:t>настоящего договора</w:t>
      </w:r>
      <w:r>
        <w:rPr>
          <w:rFonts w:ascii="Times New Roman" w:hAnsi="Times New Roman" w:cs="Times New Roman"/>
          <w:lang w:val="ru-RU"/>
        </w:rPr>
        <w:t xml:space="preserve">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:rsidR="00324CA6" w:rsidRDefault="009B4788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:rsidR="00324CA6" w:rsidRDefault="009B4788">
      <w:pPr>
        <w:pStyle w:val="afc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копии документов, подтверждающих оплату участия. 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:rsidR="005D3BAB" w:rsidRPr="005D3BAB" w:rsidRDefault="005D3BAB" w:rsidP="005D3BAB">
      <w:pPr>
        <w:pStyle w:val="afc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 w:rsidRPr="005D3BAB">
        <w:rPr>
          <w:rFonts w:eastAsiaTheme="minorHAnsi"/>
          <w:sz w:val="22"/>
          <w:szCs w:val="22"/>
          <w:lang w:eastAsia="en-US"/>
        </w:rPr>
        <w:t>Подписать Акт сдачи-приемки предоставленных услуг, предоставленный Организатором по окончании оказания услуг, в течение 5 рабочих дней после получения и направить его в адрес Организатора. В случае не подписания Акта сдачи-приемки предоставленных услуг Экспонентом в указанный срок и непредставления мотивированного отказа от его подписания в тот же срок, услуги считаются принятыми в полном объеме без оговорок и замечаний. Подписание Экспонентом Акта сдачи-приемки предоставленных услуг означает безусловное признание Экспонентом качества и количества оказанных услуг.</w:t>
      </w:r>
      <w:bookmarkStart w:id="0" w:name="_GoBack"/>
      <w:bookmarkEnd w:id="0"/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:rsidR="00324CA6" w:rsidRDefault="009B4788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:rsidR="00324CA6" w:rsidRDefault="00324CA6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Разрешение споров осуществляется на основании законодательства Республики Беларусь в Экономическом суде г.</w:t>
      </w:r>
      <w:r w:rsidR="00A838B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Минска. </w:t>
      </w:r>
      <w:r w:rsidR="00A838B2">
        <w:rPr>
          <w:rFonts w:ascii="Times New Roman" w:hAnsi="Times New Roman" w:cs="Times New Roman"/>
          <w:lang w:val="ru-RU"/>
        </w:rPr>
        <w:t>Применимое право – право Республики Беларусь.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 является генеральным застройщиком выставочных стендов на выставках, проводимых государственным предприятием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 (</w:t>
      </w:r>
      <w:hyperlink r:id="rId11" w:tooltip="http://www.belexpo.by" w:history="1">
        <w:r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>
        <w:rPr>
          <w:rFonts w:ascii="Times New Roman" w:hAnsi="Times New Roman" w:cs="Times New Roman"/>
          <w:lang w:val="ru-RU"/>
        </w:rPr>
        <w:t>).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тел. (+375 29) 911 56 54,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2" w:tooltip="mailto:product@ck.by" w:history="1">
        <w:r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>
        <w:rPr>
          <w:rFonts w:ascii="Times New Roman" w:hAnsi="Times New Roman" w:cs="Times New Roman"/>
          <w:lang w:val="ru-RU"/>
        </w:rPr>
        <w:t>, сайт – www.otpusk.by.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324CA6">
        <w:trPr>
          <w:trHeight w:val="1775"/>
        </w:trPr>
        <w:tc>
          <w:tcPr>
            <w:tcW w:w="5245" w:type="dxa"/>
            <w:shd w:val="clear" w:color="auto" w:fill="auto"/>
          </w:tcPr>
          <w:p w:rsidR="00324CA6" w:rsidRDefault="009B47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:rsidR="00324CA6" w:rsidRDefault="009B47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</w:t>
            </w:r>
            <w:proofErr w:type="spellStart"/>
            <w:r>
              <w:rPr>
                <w:b/>
                <w:sz w:val="22"/>
                <w:szCs w:val="22"/>
              </w:rPr>
              <w:t>БелЭкспо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:rsidR="00324CA6" w:rsidRDefault="009B478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ул.Павлины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Медёлки</w:t>
            </w:r>
            <w:proofErr w:type="spellEnd"/>
            <w:r>
              <w:rPr>
                <w:sz w:val="22"/>
                <w:szCs w:val="22"/>
              </w:rPr>
              <w:t xml:space="preserve">, 24,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220080.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БАНКОВСКИЕ РЕКВИЗИТЫ: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УНП 100055235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Р/с BY09MMBN30120000040101642111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БАНК ПОЛУЧАТЕЛЯ: 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ОАО «Банк </w:t>
            </w:r>
            <w:proofErr w:type="spellStart"/>
            <w:r>
              <w:rPr>
                <w:sz w:val="20"/>
                <w:szCs w:val="22"/>
              </w:rPr>
              <w:t>Дабрабыт</w:t>
            </w:r>
            <w:proofErr w:type="spellEnd"/>
            <w:r>
              <w:rPr>
                <w:sz w:val="20"/>
                <w:szCs w:val="22"/>
              </w:rPr>
              <w:t>», БИК MMBNBY22,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</w:t>
            </w:r>
            <w:proofErr w:type="spellStart"/>
            <w:r>
              <w:rPr>
                <w:sz w:val="20"/>
                <w:szCs w:val="22"/>
              </w:rPr>
              <w:t>сч</w:t>
            </w:r>
            <w:proofErr w:type="spellEnd"/>
            <w:r>
              <w:rPr>
                <w:sz w:val="20"/>
                <w:szCs w:val="22"/>
              </w:rPr>
              <w:t xml:space="preserve"> 30111810600000000268, г. Минск, РБ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БАНК-КОРРЕСПОНДЕНТ БАНКА ПОЛУЧАТЕЛЯ: 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ПАО «ТКБ БАНК»,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</w:t>
            </w:r>
            <w:proofErr w:type="spellStart"/>
            <w:r>
              <w:rPr>
                <w:sz w:val="20"/>
                <w:szCs w:val="22"/>
              </w:rPr>
              <w:t>сч</w:t>
            </w:r>
            <w:proofErr w:type="spellEnd"/>
            <w:r>
              <w:rPr>
                <w:sz w:val="20"/>
                <w:szCs w:val="22"/>
              </w:rPr>
              <w:t xml:space="preserve"> 30101810800000000388 в ГУ Банка России по ЦФО, г. Москва, РФ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БИК 044525388, SWIFT TJSCRUMM</w:t>
            </w: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ИНН 7709129705, КПП 770901001</w:t>
            </w:r>
          </w:p>
        </w:tc>
        <w:tc>
          <w:tcPr>
            <w:tcW w:w="5387" w:type="dxa"/>
            <w:gridSpan w:val="2"/>
            <w:shd w:val="clear" w:color="auto" w:fill="auto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324CA6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324CA6" w:rsidRDefault="009B4788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ЭКСПОНЕНТ</w:t>
                  </w:r>
                </w:p>
                <w:p w:rsidR="00324CA6" w:rsidRDefault="009B4788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_______________________________________</w:t>
                  </w:r>
                </w:p>
                <w:p w:rsidR="00324CA6" w:rsidRDefault="00324CA6">
                  <w:pPr>
                    <w:rPr>
                      <w:sz w:val="22"/>
                      <w:szCs w:val="22"/>
                    </w:rPr>
                  </w:pP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Юридический/почтовый адрес ____________</w:t>
                  </w:r>
                </w:p>
                <w:p w:rsidR="00324CA6" w:rsidRDefault="00324CA6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УНП _____________, ОКПО ______________</w:t>
                  </w: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р/с ____________________________________</w:t>
                  </w:r>
                </w:p>
                <w:p w:rsidR="00324CA6" w:rsidRDefault="009B478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Наименование и адрес банка___________</w:t>
                  </w:r>
                </w:p>
                <w:p w:rsidR="00324CA6" w:rsidRDefault="009B478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324CA6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324CA6" w:rsidRDefault="00324CA6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324CA6" w:rsidRDefault="00324CA6">
            <w:pPr>
              <w:rPr>
                <w:sz w:val="22"/>
                <w:szCs w:val="22"/>
              </w:rPr>
            </w:pPr>
          </w:p>
        </w:tc>
      </w:tr>
      <w:tr w:rsidR="00324CA6">
        <w:trPr>
          <w:gridAfter w:val="1"/>
          <w:wAfter w:w="562" w:type="dxa"/>
          <w:trHeight w:val="738"/>
        </w:trPr>
        <w:tc>
          <w:tcPr>
            <w:tcW w:w="5245" w:type="dxa"/>
            <w:shd w:val="clear" w:color="auto" w:fill="auto"/>
          </w:tcPr>
          <w:p w:rsidR="00324CA6" w:rsidRDefault="00324CA6">
            <w:pPr>
              <w:rPr>
                <w:sz w:val="22"/>
                <w:szCs w:val="22"/>
              </w:rPr>
            </w:pP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:rsidR="00324CA6" w:rsidRDefault="009B478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4825" w:type="dxa"/>
            <w:shd w:val="clear" w:color="auto" w:fill="auto"/>
          </w:tcPr>
          <w:p w:rsidR="00324CA6" w:rsidRDefault="00324CA6">
            <w:pPr>
              <w:rPr>
                <w:sz w:val="22"/>
                <w:szCs w:val="22"/>
              </w:rPr>
            </w:pP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:rsidR="00324CA6" w:rsidRDefault="00324CA6">
      <w:pPr>
        <w:rPr>
          <w:sz w:val="22"/>
          <w:szCs w:val="22"/>
        </w:rPr>
      </w:pPr>
    </w:p>
    <w:p w:rsidR="00324CA6" w:rsidRDefault="00324CA6">
      <w:pPr>
        <w:rPr>
          <w:sz w:val="22"/>
          <w:szCs w:val="22"/>
        </w:rPr>
      </w:pPr>
    </w:p>
    <w:sectPr w:rsidR="00324CA6">
      <w:headerReference w:type="first" r:id="rId13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EA3" w:rsidRDefault="008D3EA3">
      <w:r>
        <w:separator/>
      </w:r>
    </w:p>
  </w:endnote>
  <w:endnote w:type="continuationSeparator" w:id="0">
    <w:p w:rsidR="008D3EA3" w:rsidRDefault="008D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EA3" w:rsidRDefault="008D3EA3">
      <w:r>
        <w:separator/>
      </w:r>
    </w:p>
  </w:footnote>
  <w:footnote w:type="continuationSeparator" w:id="0">
    <w:p w:rsidR="008D3EA3" w:rsidRDefault="008D3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CA6" w:rsidRDefault="00324CA6">
    <w:pPr>
      <w:pStyle w:val="af3"/>
      <w:rPr>
        <w:rFonts w:ascii="Arial" w:hAnsi="Arial" w:cs="Arial"/>
        <w:b/>
        <w:sz w:val="6"/>
        <w:lang w:val="ru-RU"/>
      </w:rPr>
    </w:pPr>
  </w:p>
  <w:p w:rsidR="00324CA6" w:rsidRDefault="009B4788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324CA6">
      <w:trPr>
        <w:trHeight w:val="1138"/>
      </w:trPr>
      <w:tc>
        <w:tcPr>
          <w:tcW w:w="4978" w:type="dxa"/>
        </w:tcPr>
        <w:p w:rsidR="00324CA6" w:rsidRDefault="009B4788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/>
              <w:sz w:val="10"/>
              <w:lang w:val="ru-RU" w:eastAsia="ru-RU"/>
            </w:rPr>
            <mc:AlternateContent>
              <mc:Choice Requires="wpg">
                <w:drawing>
                  <wp:inline distT="0" distB="0" distL="0" distR="0">
                    <wp:extent cx="2905125" cy="942975"/>
                    <wp:effectExtent l="0" t="0" r="0" b="0"/>
                    <wp:docPr id="1" name="_x0000_i102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905125" cy="942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28.75pt;height:74.2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522" w:type="dxa"/>
        </w:tcPr>
        <w:p w:rsidR="00324CA6" w:rsidRDefault="00324CA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324CA6" w:rsidRDefault="00324CA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324CA6" w:rsidRDefault="009B4788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:rsidR="00324CA6" w:rsidRDefault="00324CA6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:rsidR="00324CA6" w:rsidRDefault="009B4788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:rsidR="00324CA6" w:rsidRDefault="00324CA6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:rsidR="00324CA6" w:rsidRDefault="00324CA6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19F1"/>
    <w:multiLevelType w:val="hybridMultilevel"/>
    <w:tmpl w:val="C87499D8"/>
    <w:lvl w:ilvl="0" w:tplc="9D323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64872C">
      <w:start w:val="1"/>
      <w:numFmt w:val="lowerLetter"/>
      <w:lvlText w:val="%2."/>
      <w:lvlJc w:val="left"/>
      <w:pPr>
        <w:ind w:left="1440" w:hanging="360"/>
      </w:pPr>
    </w:lvl>
    <w:lvl w:ilvl="2" w:tplc="4606DD3C">
      <w:start w:val="1"/>
      <w:numFmt w:val="lowerRoman"/>
      <w:lvlText w:val="%3."/>
      <w:lvlJc w:val="right"/>
      <w:pPr>
        <w:ind w:left="2160" w:hanging="180"/>
      </w:pPr>
    </w:lvl>
    <w:lvl w:ilvl="3" w:tplc="F71A4946">
      <w:start w:val="1"/>
      <w:numFmt w:val="decimal"/>
      <w:lvlText w:val="%4."/>
      <w:lvlJc w:val="left"/>
      <w:pPr>
        <w:ind w:left="2880" w:hanging="360"/>
      </w:pPr>
    </w:lvl>
    <w:lvl w:ilvl="4" w:tplc="7CAC48F4">
      <w:start w:val="1"/>
      <w:numFmt w:val="lowerLetter"/>
      <w:lvlText w:val="%5."/>
      <w:lvlJc w:val="left"/>
      <w:pPr>
        <w:ind w:left="3600" w:hanging="360"/>
      </w:pPr>
    </w:lvl>
    <w:lvl w:ilvl="5" w:tplc="17B00B3A">
      <w:start w:val="1"/>
      <w:numFmt w:val="lowerRoman"/>
      <w:lvlText w:val="%6."/>
      <w:lvlJc w:val="right"/>
      <w:pPr>
        <w:ind w:left="4320" w:hanging="180"/>
      </w:pPr>
    </w:lvl>
    <w:lvl w:ilvl="6" w:tplc="FFA86FDC">
      <w:start w:val="1"/>
      <w:numFmt w:val="decimal"/>
      <w:lvlText w:val="%7."/>
      <w:lvlJc w:val="left"/>
      <w:pPr>
        <w:ind w:left="5040" w:hanging="360"/>
      </w:pPr>
    </w:lvl>
    <w:lvl w:ilvl="7" w:tplc="D0A03760">
      <w:start w:val="1"/>
      <w:numFmt w:val="lowerLetter"/>
      <w:lvlText w:val="%8."/>
      <w:lvlJc w:val="left"/>
      <w:pPr>
        <w:ind w:left="5760" w:hanging="360"/>
      </w:pPr>
    </w:lvl>
    <w:lvl w:ilvl="8" w:tplc="A866DD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74D2"/>
    <w:multiLevelType w:val="hybridMultilevel"/>
    <w:tmpl w:val="FD568368"/>
    <w:lvl w:ilvl="0" w:tplc="958E1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C30F2">
      <w:start w:val="1"/>
      <w:numFmt w:val="lowerLetter"/>
      <w:lvlText w:val="%2."/>
      <w:lvlJc w:val="left"/>
      <w:pPr>
        <w:ind w:left="1440" w:hanging="360"/>
      </w:pPr>
    </w:lvl>
    <w:lvl w:ilvl="2" w:tplc="38A0B0C6">
      <w:start w:val="1"/>
      <w:numFmt w:val="lowerRoman"/>
      <w:lvlText w:val="%3."/>
      <w:lvlJc w:val="right"/>
      <w:pPr>
        <w:ind w:left="2160" w:hanging="180"/>
      </w:pPr>
    </w:lvl>
    <w:lvl w:ilvl="3" w:tplc="30D6ECBA">
      <w:start w:val="1"/>
      <w:numFmt w:val="decimal"/>
      <w:lvlText w:val="%4."/>
      <w:lvlJc w:val="left"/>
      <w:pPr>
        <w:ind w:left="2880" w:hanging="360"/>
      </w:pPr>
    </w:lvl>
    <w:lvl w:ilvl="4" w:tplc="559E24F4">
      <w:start w:val="1"/>
      <w:numFmt w:val="lowerLetter"/>
      <w:lvlText w:val="%5."/>
      <w:lvlJc w:val="left"/>
      <w:pPr>
        <w:ind w:left="3600" w:hanging="360"/>
      </w:pPr>
    </w:lvl>
    <w:lvl w:ilvl="5" w:tplc="2FC6467C">
      <w:start w:val="1"/>
      <w:numFmt w:val="lowerRoman"/>
      <w:lvlText w:val="%6."/>
      <w:lvlJc w:val="right"/>
      <w:pPr>
        <w:ind w:left="4320" w:hanging="180"/>
      </w:pPr>
    </w:lvl>
    <w:lvl w:ilvl="6" w:tplc="931864CA">
      <w:start w:val="1"/>
      <w:numFmt w:val="decimal"/>
      <w:lvlText w:val="%7."/>
      <w:lvlJc w:val="left"/>
      <w:pPr>
        <w:ind w:left="5040" w:hanging="360"/>
      </w:pPr>
    </w:lvl>
    <w:lvl w:ilvl="7" w:tplc="1FD0FABA">
      <w:start w:val="1"/>
      <w:numFmt w:val="lowerLetter"/>
      <w:lvlText w:val="%8."/>
      <w:lvlJc w:val="left"/>
      <w:pPr>
        <w:ind w:left="5760" w:hanging="360"/>
      </w:pPr>
    </w:lvl>
    <w:lvl w:ilvl="8" w:tplc="63CABF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007DB"/>
    <w:multiLevelType w:val="hybridMultilevel"/>
    <w:tmpl w:val="0F62642C"/>
    <w:lvl w:ilvl="0" w:tplc="69963E8E">
      <w:start w:val="1"/>
      <w:numFmt w:val="decimal"/>
      <w:lvlText w:val="%1."/>
      <w:lvlJc w:val="left"/>
      <w:pPr>
        <w:ind w:left="1080" w:hanging="360"/>
      </w:pPr>
    </w:lvl>
    <w:lvl w:ilvl="1" w:tplc="5F2C8576">
      <w:start w:val="1"/>
      <w:numFmt w:val="lowerLetter"/>
      <w:lvlText w:val="%2."/>
      <w:lvlJc w:val="left"/>
      <w:pPr>
        <w:ind w:left="1800" w:hanging="360"/>
      </w:pPr>
    </w:lvl>
    <w:lvl w:ilvl="2" w:tplc="84F08BD4">
      <w:start w:val="1"/>
      <w:numFmt w:val="lowerRoman"/>
      <w:lvlText w:val="%3."/>
      <w:lvlJc w:val="right"/>
      <w:pPr>
        <w:ind w:left="2520" w:hanging="180"/>
      </w:pPr>
    </w:lvl>
    <w:lvl w:ilvl="3" w:tplc="A89048EE">
      <w:start w:val="1"/>
      <w:numFmt w:val="decimal"/>
      <w:lvlText w:val="%4."/>
      <w:lvlJc w:val="left"/>
      <w:pPr>
        <w:ind w:left="3240" w:hanging="360"/>
      </w:pPr>
    </w:lvl>
    <w:lvl w:ilvl="4" w:tplc="279AAA06">
      <w:start w:val="1"/>
      <w:numFmt w:val="lowerLetter"/>
      <w:lvlText w:val="%5."/>
      <w:lvlJc w:val="left"/>
      <w:pPr>
        <w:ind w:left="3960" w:hanging="360"/>
      </w:pPr>
    </w:lvl>
    <w:lvl w:ilvl="5" w:tplc="41604BCC">
      <w:start w:val="1"/>
      <w:numFmt w:val="lowerRoman"/>
      <w:lvlText w:val="%6."/>
      <w:lvlJc w:val="right"/>
      <w:pPr>
        <w:ind w:left="4680" w:hanging="180"/>
      </w:pPr>
    </w:lvl>
    <w:lvl w:ilvl="6" w:tplc="350A1D3E">
      <w:start w:val="1"/>
      <w:numFmt w:val="decimal"/>
      <w:lvlText w:val="%7."/>
      <w:lvlJc w:val="left"/>
      <w:pPr>
        <w:ind w:left="5400" w:hanging="360"/>
      </w:pPr>
    </w:lvl>
    <w:lvl w:ilvl="7" w:tplc="479CBAF4">
      <w:start w:val="1"/>
      <w:numFmt w:val="lowerLetter"/>
      <w:lvlText w:val="%8."/>
      <w:lvlJc w:val="left"/>
      <w:pPr>
        <w:ind w:left="6120" w:hanging="360"/>
      </w:pPr>
    </w:lvl>
    <w:lvl w:ilvl="8" w:tplc="AA0CF80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F27A4"/>
    <w:multiLevelType w:val="hybridMultilevel"/>
    <w:tmpl w:val="D1CAEDCA"/>
    <w:lvl w:ilvl="0" w:tplc="01C2A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473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67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E9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CE8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A3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84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D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5AC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C20E2"/>
    <w:multiLevelType w:val="hybridMultilevel"/>
    <w:tmpl w:val="4720F1CA"/>
    <w:lvl w:ilvl="0" w:tplc="55527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E81E7C">
      <w:start w:val="1"/>
      <w:numFmt w:val="lowerLetter"/>
      <w:lvlText w:val="%2."/>
      <w:lvlJc w:val="left"/>
      <w:pPr>
        <w:ind w:left="1440" w:hanging="360"/>
      </w:pPr>
    </w:lvl>
    <w:lvl w:ilvl="2" w:tplc="F11087E8">
      <w:start w:val="1"/>
      <w:numFmt w:val="lowerRoman"/>
      <w:lvlText w:val="%3."/>
      <w:lvlJc w:val="right"/>
      <w:pPr>
        <w:ind w:left="2160" w:hanging="180"/>
      </w:pPr>
    </w:lvl>
    <w:lvl w:ilvl="3" w:tplc="3DA2DD3C">
      <w:start w:val="1"/>
      <w:numFmt w:val="decimal"/>
      <w:lvlText w:val="%4."/>
      <w:lvlJc w:val="left"/>
      <w:pPr>
        <w:ind w:left="2880" w:hanging="360"/>
      </w:pPr>
    </w:lvl>
    <w:lvl w:ilvl="4" w:tplc="EC5AFBC6">
      <w:start w:val="1"/>
      <w:numFmt w:val="lowerLetter"/>
      <w:lvlText w:val="%5."/>
      <w:lvlJc w:val="left"/>
      <w:pPr>
        <w:ind w:left="3600" w:hanging="360"/>
      </w:pPr>
    </w:lvl>
    <w:lvl w:ilvl="5" w:tplc="7BDC334A">
      <w:start w:val="1"/>
      <w:numFmt w:val="lowerRoman"/>
      <w:lvlText w:val="%6."/>
      <w:lvlJc w:val="right"/>
      <w:pPr>
        <w:ind w:left="4320" w:hanging="180"/>
      </w:pPr>
    </w:lvl>
    <w:lvl w:ilvl="6" w:tplc="F3A20DA6">
      <w:start w:val="1"/>
      <w:numFmt w:val="decimal"/>
      <w:lvlText w:val="%7."/>
      <w:lvlJc w:val="left"/>
      <w:pPr>
        <w:ind w:left="5040" w:hanging="360"/>
      </w:pPr>
    </w:lvl>
    <w:lvl w:ilvl="7" w:tplc="D500044E">
      <w:start w:val="1"/>
      <w:numFmt w:val="lowerLetter"/>
      <w:lvlText w:val="%8."/>
      <w:lvlJc w:val="left"/>
      <w:pPr>
        <w:ind w:left="5760" w:hanging="360"/>
      </w:pPr>
    </w:lvl>
    <w:lvl w:ilvl="8" w:tplc="619E62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13B35"/>
    <w:multiLevelType w:val="multilevel"/>
    <w:tmpl w:val="362CA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A6"/>
    <w:rsid w:val="0027285B"/>
    <w:rsid w:val="00324CA6"/>
    <w:rsid w:val="005D3BAB"/>
    <w:rsid w:val="008D3EA3"/>
    <w:rsid w:val="009B4788"/>
    <w:rsid w:val="00A76E62"/>
    <w:rsid w:val="00A838B2"/>
    <w:rsid w:val="00D65039"/>
    <w:rsid w:val="00D82487"/>
    <w:rsid w:val="00EB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B2DB"/>
  <w15:docId w15:val="{FC7CB704-20A5-406E-81AF-EE0BC9A4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duct@ck.b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lexpo.b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udexpo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EF366F3-009E-417D-8AB8-7C81F05D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Сергей Рубцов</cp:lastModifiedBy>
  <cp:revision>10</cp:revision>
  <dcterms:created xsi:type="dcterms:W3CDTF">2025-11-20T11:43:00Z</dcterms:created>
  <dcterms:modified xsi:type="dcterms:W3CDTF">2026-02-13T09:19:00Z</dcterms:modified>
</cp:coreProperties>
</file>